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67" w:rsidRDefault="00875A6E" w:rsidP="00EF3C6B">
      <w:pPr>
        <w:spacing w:after="120"/>
      </w:pPr>
      <w:r w:rsidRPr="00BA6AD7">
        <w:rPr>
          <w:b/>
          <w:bCs/>
          <w:noProof/>
          <w:lang w:eastAsia="hr-HR"/>
        </w:rPr>
        <w:drawing>
          <wp:inline distT="0" distB="0" distL="0" distR="0" wp14:anchorId="6A9935A7" wp14:editId="12AC3537">
            <wp:extent cx="2579370" cy="4051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FA8">
        <w:rPr>
          <w:b/>
          <w:bCs/>
          <w:noProof/>
          <w:lang w:eastAsia="hr-HR"/>
        </w:rPr>
        <w:t xml:space="preserve">                                                                 </w:t>
      </w:r>
      <w:r w:rsidRPr="00BA6AD7">
        <w:rPr>
          <w:b/>
          <w:bCs/>
          <w:noProof/>
          <w:lang w:eastAsia="hr-HR"/>
        </w:rPr>
        <w:drawing>
          <wp:inline distT="0" distB="0" distL="0" distR="0" wp14:anchorId="4743D877" wp14:editId="10D439E1">
            <wp:extent cx="1095375" cy="517525"/>
            <wp:effectExtent l="0" t="0" r="9525" b="0"/>
            <wp:docPr id="2" name="Picture 3" descr="h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67" w:rsidRDefault="00F64967" w:rsidP="00EF3C6B">
      <w:pPr>
        <w:spacing w:after="120"/>
        <w:rPr>
          <w:sz w:val="12"/>
          <w:szCs w:val="12"/>
        </w:rPr>
      </w:pPr>
    </w:p>
    <w:p w:rsidR="00D143C1" w:rsidRDefault="00D143C1" w:rsidP="00EF3C6B">
      <w:pPr>
        <w:spacing w:after="120"/>
        <w:rPr>
          <w:sz w:val="12"/>
          <w:szCs w:val="12"/>
        </w:rPr>
      </w:pPr>
    </w:p>
    <w:p w:rsidR="00F64967" w:rsidRPr="00EF3C6B" w:rsidRDefault="00F64967" w:rsidP="00EF3C6B">
      <w:pPr>
        <w:spacing w:after="120"/>
      </w:pPr>
      <w:r w:rsidRPr="00EF3C6B">
        <w:t>OBJAVA ZA MEDIJE</w:t>
      </w:r>
    </w:p>
    <w:p w:rsidR="00F64967" w:rsidRPr="000A696D" w:rsidRDefault="00F64967" w:rsidP="004A5F1A">
      <w:pPr>
        <w:rPr>
          <w:b/>
          <w:bCs/>
          <w:sz w:val="6"/>
          <w:szCs w:val="6"/>
          <w:lang w:eastAsia="hr-HR"/>
        </w:rPr>
      </w:pPr>
    </w:p>
    <w:p w:rsidR="00F64967" w:rsidRPr="00AA5FAF" w:rsidRDefault="00F64967" w:rsidP="004A5F1A">
      <w:pPr>
        <w:rPr>
          <w:b/>
          <w:bCs/>
          <w:sz w:val="12"/>
          <w:szCs w:val="12"/>
          <w:lang w:eastAsia="hr-HR"/>
        </w:rPr>
      </w:pPr>
    </w:p>
    <w:p w:rsidR="00F64967" w:rsidRDefault="00F64967" w:rsidP="004A5F1A">
      <w:pPr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ZAVRŠEN</w:t>
      </w:r>
      <w:r w:rsidR="00B55E56">
        <w:rPr>
          <w:b/>
          <w:bCs/>
          <w:sz w:val="28"/>
          <w:szCs w:val="28"/>
          <w:lang w:eastAsia="hr-HR"/>
        </w:rPr>
        <w:t>O</w:t>
      </w:r>
      <w:r>
        <w:rPr>
          <w:b/>
          <w:bCs/>
          <w:sz w:val="28"/>
          <w:szCs w:val="28"/>
          <w:lang w:eastAsia="hr-HR"/>
        </w:rPr>
        <w:t xml:space="preserve"> DVA MILIJUNA KUNA VRIJEDN</w:t>
      </w:r>
      <w:r w:rsidR="00A34FA8">
        <w:rPr>
          <w:b/>
          <w:bCs/>
          <w:sz w:val="28"/>
          <w:szCs w:val="28"/>
          <w:lang w:eastAsia="hr-HR"/>
        </w:rPr>
        <w:t xml:space="preserve">O </w:t>
      </w:r>
      <w:r>
        <w:rPr>
          <w:b/>
          <w:bCs/>
          <w:sz w:val="28"/>
          <w:szCs w:val="28"/>
          <w:lang w:eastAsia="hr-HR"/>
        </w:rPr>
        <w:t xml:space="preserve">RAZMINIRANJE </w:t>
      </w:r>
      <w:r w:rsidR="00A34FA8">
        <w:rPr>
          <w:b/>
          <w:bCs/>
          <w:sz w:val="28"/>
          <w:szCs w:val="28"/>
          <w:lang w:eastAsia="hr-HR"/>
        </w:rPr>
        <w:t>STANKOVACA</w:t>
      </w:r>
    </w:p>
    <w:p w:rsidR="00F64967" w:rsidRPr="000A696D" w:rsidRDefault="00F64967" w:rsidP="00AA5FAF">
      <w:pPr>
        <w:rPr>
          <w:sz w:val="16"/>
          <w:szCs w:val="16"/>
          <w:lang w:eastAsia="hr-HR"/>
        </w:rPr>
      </w:pPr>
    </w:p>
    <w:p w:rsidR="00A34FA8" w:rsidRDefault="00A34FA8" w:rsidP="00D143C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STANKOVCI</w:t>
      </w:r>
      <w:r w:rsidR="00F64967">
        <w:rPr>
          <w:b/>
          <w:bCs/>
        </w:rPr>
        <w:t xml:space="preserve">, </w:t>
      </w:r>
      <w:r>
        <w:rPr>
          <w:b/>
          <w:bCs/>
        </w:rPr>
        <w:t>12. srpnj</w:t>
      </w:r>
      <w:r w:rsidR="00D143C1">
        <w:rPr>
          <w:b/>
          <w:bCs/>
        </w:rPr>
        <w:t>a</w:t>
      </w:r>
      <w:r w:rsidR="00F64967" w:rsidRPr="000A696D">
        <w:rPr>
          <w:b/>
          <w:bCs/>
        </w:rPr>
        <w:t xml:space="preserve"> 201</w:t>
      </w:r>
      <w:r>
        <w:rPr>
          <w:b/>
          <w:bCs/>
        </w:rPr>
        <w:t>7</w:t>
      </w:r>
      <w:r w:rsidR="00F64967" w:rsidRPr="000A696D">
        <w:rPr>
          <w:b/>
          <w:bCs/>
        </w:rPr>
        <w:t>. –</w:t>
      </w:r>
      <w:r w:rsidR="00F64967">
        <w:rPr>
          <w:b/>
          <w:bCs/>
        </w:rPr>
        <w:t xml:space="preserve"> Hrvatskoj</w:t>
      </w:r>
      <w:r w:rsidR="00F64967" w:rsidRPr="00817BE4">
        <w:rPr>
          <w:b/>
          <w:bCs/>
        </w:rPr>
        <w:t xml:space="preserve"> elektroprivred</w:t>
      </w:r>
      <w:r w:rsidR="00F64967">
        <w:rPr>
          <w:b/>
          <w:bCs/>
        </w:rPr>
        <w:t>i uručen</w:t>
      </w:r>
      <w:r>
        <w:rPr>
          <w:b/>
          <w:bCs/>
        </w:rPr>
        <w:t>a je</w:t>
      </w:r>
      <w:r w:rsidR="00F64967">
        <w:rPr>
          <w:b/>
          <w:bCs/>
        </w:rPr>
        <w:t xml:space="preserve"> </w:t>
      </w:r>
      <w:r w:rsidR="00F64967" w:rsidRPr="000A696D">
        <w:rPr>
          <w:b/>
          <w:bCs/>
        </w:rPr>
        <w:t xml:space="preserve">danas </w:t>
      </w:r>
      <w:r w:rsidR="00D143C1">
        <w:rPr>
          <w:b/>
          <w:bCs/>
        </w:rPr>
        <w:t>zahvalnica za donaciju dva</w:t>
      </w:r>
      <w:r>
        <w:rPr>
          <w:b/>
          <w:bCs/>
        </w:rPr>
        <w:t xml:space="preserve"> milijuna kuna sredstava za razminiranje, a Općini </w:t>
      </w:r>
      <w:proofErr w:type="spellStart"/>
      <w:r>
        <w:rPr>
          <w:b/>
          <w:bCs/>
        </w:rPr>
        <w:t>Stankovci</w:t>
      </w:r>
      <w:proofErr w:type="spellEnd"/>
      <w:r>
        <w:rPr>
          <w:b/>
          <w:bCs/>
        </w:rPr>
        <w:t xml:space="preserve"> potvrda o isključenju 176.231 četvornih metara područja u naselju Bila Vlaka iz minski sumnjivog područja. </w:t>
      </w:r>
      <w:r w:rsidR="00E81697">
        <w:rPr>
          <w:b/>
          <w:bCs/>
        </w:rPr>
        <w:t>Ukupna vrijednost</w:t>
      </w:r>
      <w:r w:rsidR="00E81697" w:rsidRPr="00817BE4">
        <w:rPr>
          <w:b/>
          <w:bCs/>
        </w:rPr>
        <w:t xml:space="preserve"> poslova razminiranja</w:t>
      </w:r>
      <w:r w:rsidR="00E81697">
        <w:rPr>
          <w:b/>
          <w:bCs/>
        </w:rPr>
        <w:t xml:space="preserve"> područja Ljut i Vlaka iznosila je </w:t>
      </w:r>
      <w:r w:rsidR="00E81697">
        <w:rPr>
          <w:b/>
          <w:bCs/>
          <w:color w:val="000000"/>
        </w:rPr>
        <w:t>2</w:t>
      </w:r>
      <w:r w:rsidR="00E81697" w:rsidRPr="00817BE4">
        <w:rPr>
          <w:b/>
          <w:bCs/>
          <w:color w:val="000000"/>
        </w:rPr>
        <w:t xml:space="preserve"> milijuna kuna</w:t>
      </w:r>
      <w:r w:rsidR="00E81697">
        <w:rPr>
          <w:b/>
          <w:bCs/>
          <w:color w:val="000000"/>
        </w:rPr>
        <w:t xml:space="preserve">, što </w:t>
      </w:r>
      <w:r w:rsidR="00E81697" w:rsidRPr="00817BE4">
        <w:rPr>
          <w:b/>
          <w:bCs/>
          <w:color w:val="000000"/>
        </w:rPr>
        <w:t xml:space="preserve">je </w:t>
      </w:r>
      <w:r w:rsidR="00E81697" w:rsidRPr="00817BE4">
        <w:rPr>
          <w:b/>
          <w:bCs/>
        </w:rPr>
        <w:t>u cijelosti osiguran</w:t>
      </w:r>
      <w:r w:rsidR="00E81697">
        <w:rPr>
          <w:b/>
          <w:bCs/>
        </w:rPr>
        <w:t>o</w:t>
      </w:r>
      <w:r w:rsidR="00E81697" w:rsidRPr="00817BE4">
        <w:rPr>
          <w:b/>
          <w:bCs/>
        </w:rPr>
        <w:t xml:space="preserve"> donacijom</w:t>
      </w:r>
      <w:r w:rsidR="00E81697">
        <w:rPr>
          <w:b/>
          <w:bCs/>
        </w:rPr>
        <w:t xml:space="preserve"> HEP-a za 2016. godinu.</w:t>
      </w:r>
    </w:p>
    <w:p w:rsidR="00F64967" w:rsidRDefault="00F64967" w:rsidP="00D143C1">
      <w:pPr>
        <w:spacing w:after="120" w:line="276" w:lineRule="auto"/>
        <w:jc w:val="both"/>
      </w:pPr>
      <w:r w:rsidRPr="00211745">
        <w:t>Hrvatska elektroprivreda aktivno sudjeluje u projektima razminiranj</w:t>
      </w:r>
      <w:r>
        <w:t>a</w:t>
      </w:r>
      <w:r w:rsidRPr="00211745">
        <w:t xml:space="preserve"> od 1998. godine. U razminiranje </w:t>
      </w:r>
      <w:r>
        <w:t>vlastitih</w:t>
      </w:r>
      <w:r w:rsidRPr="00211745">
        <w:t xml:space="preserve"> objek</w:t>
      </w:r>
      <w:r>
        <w:t>a</w:t>
      </w:r>
      <w:r w:rsidRPr="00211745">
        <w:t>t</w:t>
      </w:r>
      <w:r>
        <w:t xml:space="preserve">a </w:t>
      </w:r>
      <w:r w:rsidRPr="00211745">
        <w:t xml:space="preserve">HEP </w:t>
      </w:r>
      <w:r>
        <w:t xml:space="preserve">je </w:t>
      </w:r>
      <w:r w:rsidRPr="00211745">
        <w:t>investira</w:t>
      </w:r>
      <w:r>
        <w:t>o 65 milijuna kuna, dok</w:t>
      </w:r>
      <w:r w:rsidRPr="00211745">
        <w:t xml:space="preserve"> </w:t>
      </w:r>
      <w:r w:rsidR="00E81697">
        <w:t>je od</w:t>
      </w:r>
      <w:r w:rsidRPr="00211745">
        <w:t xml:space="preserve"> 2011. godine </w:t>
      </w:r>
      <w:r w:rsidR="00E81697" w:rsidRPr="00211745">
        <w:t xml:space="preserve">Hrvatskom centru za razminiranje </w:t>
      </w:r>
      <w:r w:rsidRPr="00211745">
        <w:t>donira</w:t>
      </w:r>
      <w:r w:rsidR="00E81697">
        <w:t>o</w:t>
      </w:r>
      <w:r w:rsidRPr="00211745">
        <w:t xml:space="preserve"> </w:t>
      </w:r>
      <w:r w:rsidR="00E81697">
        <w:t xml:space="preserve">ukupno </w:t>
      </w:r>
      <w:r w:rsidR="00E81697" w:rsidRPr="00211745">
        <w:t>1</w:t>
      </w:r>
      <w:r w:rsidR="00E81697">
        <w:t>2</w:t>
      </w:r>
      <w:r w:rsidR="00E81697" w:rsidRPr="00211745">
        <w:t xml:space="preserve">,2 milijuna kuna </w:t>
      </w:r>
      <w:r w:rsidRPr="00211745">
        <w:t>sredstva za projekte razminiranja</w:t>
      </w:r>
      <w:r>
        <w:t xml:space="preserve">, sukladno HCR-ovim </w:t>
      </w:r>
      <w:r w:rsidR="00403A18">
        <w:t>prioritetima</w:t>
      </w:r>
      <w:r w:rsidR="00E81697">
        <w:t>. U proteklih 19 godina, HEP je tako u projekte razminiranja investirao</w:t>
      </w:r>
      <w:r w:rsidR="00E81697" w:rsidRPr="00E81697">
        <w:t xml:space="preserve"> 77,2 milijuna kuna, s čime je zajednici na uporabu vraćeno 8,2 četvorn</w:t>
      </w:r>
      <w:r w:rsidR="00E81697">
        <w:t>ih</w:t>
      </w:r>
      <w:r w:rsidR="00E81697" w:rsidRPr="00E81697">
        <w:t xml:space="preserve"> kilometra razminirane površine.</w:t>
      </w:r>
    </w:p>
    <w:p w:rsidR="00243801" w:rsidRDefault="00F64967" w:rsidP="00405278">
      <w:pPr>
        <w:spacing w:after="120" w:line="276" w:lineRule="auto"/>
        <w:jc w:val="both"/>
      </w:pPr>
      <w:r w:rsidRPr="006B0DA5">
        <w:rPr>
          <w:i/>
          <w:iCs/>
        </w:rPr>
        <w:t>„</w:t>
      </w:r>
      <w:r w:rsidR="00405278" w:rsidRPr="00405278">
        <w:rPr>
          <w:i/>
        </w:rPr>
        <w:t>Razminiranje je sigurno jedan od najvažnijih projekata</w:t>
      </w:r>
      <w:r w:rsidR="00AE3A02">
        <w:rPr>
          <w:i/>
        </w:rPr>
        <w:t xml:space="preserve"> </w:t>
      </w:r>
      <w:r w:rsidR="00405278" w:rsidRPr="00405278">
        <w:rPr>
          <w:i/>
        </w:rPr>
        <w:t>, jer je usmjeren na zaštitu onog najdragocjenijeg - života i zdravlja ljudi</w:t>
      </w:r>
      <w:r w:rsidR="00405278">
        <w:rPr>
          <w:i/>
        </w:rPr>
        <w:t>.</w:t>
      </w:r>
      <w:r w:rsidR="00405278" w:rsidRPr="00405278">
        <w:rPr>
          <w:i/>
        </w:rPr>
        <w:t xml:space="preserve"> Stoga smo iznimno ponosni na našu suradnju s Hrvatskim centrom za razminiranje te </w:t>
      </w:r>
      <w:r w:rsidR="00AE3A02">
        <w:rPr>
          <w:i/>
        </w:rPr>
        <w:t>vjerujem</w:t>
      </w:r>
      <w:r w:rsidR="00405278" w:rsidRPr="00405278">
        <w:rPr>
          <w:i/>
        </w:rPr>
        <w:t xml:space="preserve"> da ćemo i nadalje zajedno raditi na dobrobit svih stanovnika Hrvatske.</w:t>
      </w:r>
      <w:r w:rsidRPr="006B0DA5">
        <w:rPr>
          <w:i/>
          <w:iCs/>
        </w:rPr>
        <w:t xml:space="preserve">“, </w:t>
      </w:r>
      <w:r w:rsidRPr="006B0DA5">
        <w:t xml:space="preserve">istaknuo je </w:t>
      </w:r>
      <w:r w:rsidR="00A00F6B">
        <w:t xml:space="preserve">primajući </w:t>
      </w:r>
      <w:r w:rsidR="00A00F6B" w:rsidRPr="00A00F6B">
        <w:t>priznanje Ozren Nadoveza</w:t>
      </w:r>
      <w:r w:rsidRPr="00A00F6B">
        <w:t xml:space="preserve">, </w:t>
      </w:r>
      <w:r w:rsidR="00A00F6B">
        <w:t>direktor HEP-Operatora distribucijskog sustava Elektre Šibenik.</w:t>
      </w:r>
      <w:r w:rsidR="00C4127C">
        <w:t xml:space="preserve"> </w:t>
      </w:r>
    </w:p>
    <w:p w:rsidR="00F64967" w:rsidRDefault="000240C3" w:rsidP="00D143C1">
      <w:pPr>
        <w:spacing w:after="120" w:line="276" w:lineRule="auto"/>
        <w:jc w:val="both"/>
      </w:pPr>
      <w:r>
        <w:t>Ante Brkljačić</w:t>
      </w:r>
      <w:r w:rsidR="00F64967">
        <w:t xml:space="preserve">, </w:t>
      </w:r>
      <w:r>
        <w:t xml:space="preserve">v.d. </w:t>
      </w:r>
      <w:r w:rsidR="00F64967">
        <w:t>ravnatelj</w:t>
      </w:r>
      <w:r>
        <w:t>a</w:t>
      </w:r>
      <w:r w:rsidR="00F64967">
        <w:t xml:space="preserve"> Hrvatskog centra za razminiranje, zahvalio je predstavnicima Hrvatske elektroprivrede na dugogodišnjoj uspješnoj suradnji, napomenuvši kako je </w:t>
      </w:r>
      <w:r w:rsidR="00F64967" w:rsidRPr="00AA5FAF">
        <w:t>HEP jedini investitor poslova razminiranja koji je po uklanjanju minske zagađenosti vlastite infrastrukture ostao u sustavu kao donator sredstava za razminiranje</w:t>
      </w:r>
      <w:r w:rsidR="00F64967">
        <w:t>,</w:t>
      </w:r>
      <w:r w:rsidR="00F64967" w:rsidRPr="00AA5FAF">
        <w:t xml:space="preserve"> i to kao najveći pojedinačni donator od domaćih pravnih osoba</w:t>
      </w:r>
      <w:r w:rsidR="00F64967">
        <w:t xml:space="preserve">. </w:t>
      </w:r>
    </w:p>
    <w:p w:rsidR="00D143C1" w:rsidRDefault="00F64967" w:rsidP="00D143C1">
      <w:pPr>
        <w:pBdr>
          <w:bottom w:val="single" w:sz="4" w:space="1" w:color="auto"/>
        </w:pBdr>
        <w:spacing w:after="120" w:line="276" w:lineRule="auto"/>
        <w:jc w:val="both"/>
      </w:pPr>
      <w:r w:rsidRPr="000F6AF0">
        <w:t xml:space="preserve">Od 1996. godine u Republici Hrvatskoj ukupno je </w:t>
      </w:r>
      <w:r w:rsidRPr="00AA0980">
        <w:t xml:space="preserve">od </w:t>
      </w:r>
      <w:r w:rsidRPr="00BA6AD7">
        <w:t>minsko eksplozivnih i neeksplodiranih ubojnih sredstava s</w:t>
      </w:r>
      <w:r w:rsidRPr="00AA0980">
        <w:t>tradalo 5</w:t>
      </w:r>
      <w:r w:rsidR="000240C3">
        <w:t>95</w:t>
      </w:r>
      <w:r w:rsidRPr="00AA0980">
        <w:t xml:space="preserve"> osoba, od čega 20</w:t>
      </w:r>
      <w:r w:rsidR="000240C3">
        <w:t>3</w:t>
      </w:r>
      <w:r w:rsidRPr="00AA0980">
        <w:t xml:space="preserve"> osoba smrtno. Ukupno se na području Republike Hrvatske, na području devet  županija te </w:t>
      </w:r>
      <w:r w:rsidR="000240C3">
        <w:t xml:space="preserve">61 </w:t>
      </w:r>
      <w:r w:rsidRPr="00AA0980">
        <w:t>grad</w:t>
      </w:r>
      <w:r w:rsidR="00542C94">
        <w:t>a</w:t>
      </w:r>
      <w:r w:rsidRPr="00AA0980">
        <w:t xml:space="preserve"> i općine nalazi još </w:t>
      </w:r>
      <w:r w:rsidR="000240C3">
        <w:t>440,</w:t>
      </w:r>
      <w:r w:rsidRPr="00AA0980">
        <w:t xml:space="preserve"> </w:t>
      </w:r>
      <w:r w:rsidR="00542C94">
        <w:t xml:space="preserve">6 </w:t>
      </w:r>
      <w:r w:rsidRPr="00AA0980">
        <w:t>četvornih kilometara minski sumnjivog područja.</w:t>
      </w:r>
    </w:p>
    <w:p w:rsidR="00F64967" w:rsidRPr="00D143C1" w:rsidRDefault="00F64967" w:rsidP="00D143C1">
      <w:pPr>
        <w:pBdr>
          <w:bottom w:val="single" w:sz="4" w:space="1" w:color="auto"/>
        </w:pBdr>
        <w:spacing w:after="120" w:line="276" w:lineRule="auto"/>
        <w:jc w:val="both"/>
      </w:pPr>
      <w:r w:rsidRPr="000F6AF0">
        <w:rPr>
          <w:sz w:val="24"/>
          <w:szCs w:val="24"/>
          <w:lang w:eastAsia="hr-HR"/>
        </w:rPr>
        <w:t> </w:t>
      </w:r>
    </w:p>
    <w:p w:rsidR="00F64967" w:rsidRDefault="00F64967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>
        <w:t xml:space="preserve">za korporativne </w:t>
      </w:r>
      <w:r w:rsidRPr="00CB2CFB">
        <w:t>komunikacij</w:t>
      </w:r>
      <w:r>
        <w:t>e</w:t>
      </w:r>
      <w:r w:rsidRPr="00CB2CFB">
        <w:t xml:space="preserve"> (</w:t>
      </w:r>
      <w:hyperlink r:id="rId10" w:history="1">
        <w:r w:rsidRPr="00681F14">
          <w:rPr>
            <w:rStyle w:val="Hyperlink"/>
          </w:rPr>
          <w:t>odnosisjavnoscu@hep.hr</w:t>
        </w:r>
      </w:hyperlink>
      <w:r>
        <w:t>)</w:t>
      </w:r>
    </w:p>
    <w:p w:rsidR="00F64967" w:rsidRDefault="00F64967" w:rsidP="00B607B9">
      <w:pPr>
        <w:spacing w:after="120"/>
        <w:jc w:val="both"/>
      </w:pPr>
    </w:p>
    <w:p w:rsidR="00F64967" w:rsidRDefault="00F64967" w:rsidP="00B607B9">
      <w:pPr>
        <w:spacing w:after="120"/>
        <w:jc w:val="both"/>
      </w:pPr>
    </w:p>
    <w:p w:rsidR="007E5330" w:rsidRDefault="007E5330" w:rsidP="00B607B9">
      <w:pPr>
        <w:spacing w:after="120"/>
        <w:jc w:val="both"/>
      </w:pPr>
    </w:p>
    <w:p w:rsidR="007E5330" w:rsidRDefault="007E5330" w:rsidP="00B607B9">
      <w:pPr>
        <w:spacing w:after="120"/>
        <w:jc w:val="both"/>
      </w:pPr>
    </w:p>
    <w:p w:rsidR="007E5330" w:rsidRDefault="007E5330" w:rsidP="00B607B9">
      <w:pPr>
        <w:spacing w:after="120"/>
        <w:jc w:val="both"/>
      </w:pPr>
    </w:p>
    <w:p w:rsidR="007E5330" w:rsidRDefault="007E5330" w:rsidP="00B607B9">
      <w:pPr>
        <w:spacing w:after="120"/>
        <w:jc w:val="both"/>
      </w:pPr>
    </w:p>
    <w:p w:rsidR="00F64967" w:rsidRDefault="00F64967" w:rsidP="00B607B9">
      <w:pPr>
        <w:spacing w:after="120"/>
        <w:jc w:val="both"/>
      </w:pPr>
    </w:p>
    <w:p w:rsidR="00F64967" w:rsidRDefault="00F64967" w:rsidP="00771226">
      <w:pPr>
        <w:spacing w:after="120"/>
        <w:jc w:val="both"/>
        <w:rPr>
          <w:i/>
          <w:iCs/>
          <w:color w:val="000000"/>
          <w:kern w:val="24"/>
          <w:sz w:val="24"/>
          <w:szCs w:val="24"/>
        </w:rPr>
      </w:pPr>
    </w:p>
    <w:p w:rsidR="007E5330" w:rsidRDefault="007E5330" w:rsidP="00771226">
      <w:pPr>
        <w:spacing w:after="120"/>
        <w:jc w:val="both"/>
        <w:rPr>
          <w:i/>
          <w:iCs/>
          <w:color w:val="000000"/>
          <w:kern w:val="24"/>
          <w:sz w:val="24"/>
          <w:szCs w:val="24"/>
        </w:rPr>
      </w:pPr>
    </w:p>
    <w:p w:rsidR="007E5330" w:rsidRDefault="007E5330" w:rsidP="00771226">
      <w:pPr>
        <w:spacing w:after="120"/>
        <w:jc w:val="both"/>
        <w:rPr>
          <w:i/>
          <w:iCs/>
          <w:color w:val="000000"/>
          <w:kern w:val="24"/>
          <w:sz w:val="24"/>
          <w:szCs w:val="24"/>
        </w:rPr>
      </w:pPr>
      <w:r>
        <w:rPr>
          <w:i/>
          <w:iCs/>
          <w:noProof/>
          <w:color w:val="000000"/>
          <w:kern w:val="24"/>
          <w:sz w:val="24"/>
          <w:szCs w:val="24"/>
          <w:lang w:eastAsia="hr-HR"/>
        </w:rPr>
        <w:drawing>
          <wp:inline distT="0" distB="0" distL="0" distR="0">
            <wp:extent cx="5072466" cy="3804249"/>
            <wp:effectExtent l="0" t="0" r="0" b="6350"/>
            <wp:docPr id="3" name="Picture 3" descr="C:\Users\lkopjar1\Desktop\HCR Stankovci\Ozren Nadoveza - HEP i Zeljko Baradic - nacelnik Opcine Stanko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HCR Stankovci\Ozren Nadoveza - HEP i Zeljko Baradic - nacelnik Opcine Stankovc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83" cy="38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30" w:rsidRDefault="007E5330" w:rsidP="00771226">
      <w:pPr>
        <w:spacing w:after="120"/>
        <w:jc w:val="both"/>
        <w:rPr>
          <w:i/>
          <w:iCs/>
          <w:color w:val="000000"/>
          <w:kern w:val="24"/>
          <w:sz w:val="24"/>
          <w:szCs w:val="24"/>
        </w:rPr>
      </w:pPr>
    </w:p>
    <w:p w:rsidR="007E5330" w:rsidRPr="007D3E9D" w:rsidRDefault="007E5330" w:rsidP="00771226">
      <w:pPr>
        <w:spacing w:after="120"/>
        <w:jc w:val="both"/>
        <w:rPr>
          <w:i/>
          <w:iCs/>
          <w:color w:val="000000"/>
          <w:kern w:val="24"/>
          <w:sz w:val="24"/>
          <w:szCs w:val="24"/>
        </w:rPr>
      </w:pPr>
      <w:bookmarkStart w:id="0" w:name="_GoBack"/>
      <w:r>
        <w:rPr>
          <w:i/>
          <w:iCs/>
          <w:noProof/>
          <w:color w:val="000000"/>
          <w:kern w:val="24"/>
          <w:sz w:val="24"/>
          <w:szCs w:val="24"/>
          <w:lang w:eastAsia="hr-HR"/>
        </w:rPr>
        <w:drawing>
          <wp:inline distT="0" distB="0" distL="0" distR="0">
            <wp:extent cx="5072332" cy="3804150"/>
            <wp:effectExtent l="0" t="0" r="0" b="6350"/>
            <wp:docPr id="4" name="Picture 4" descr="C:\Users\lkopjar1\Desktop\HCR Stankovci\Ozren Nadoveza - HEP i Ante Brkljacic - vd H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HCR Stankovci\Ozren Nadoveza - HEP i Ante Brkljacic - vd HC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22" cy="381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5330" w:rsidRPr="007D3E9D" w:rsidSect="00BA6A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2D" w:rsidRDefault="0045362D" w:rsidP="00EF3C6B">
      <w:r>
        <w:separator/>
      </w:r>
    </w:p>
  </w:endnote>
  <w:endnote w:type="continuationSeparator" w:id="0">
    <w:p w:rsidR="0045362D" w:rsidRDefault="0045362D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2D" w:rsidRDefault="0045362D" w:rsidP="00EF3C6B">
      <w:r>
        <w:separator/>
      </w:r>
    </w:p>
  </w:footnote>
  <w:footnote w:type="continuationSeparator" w:id="0">
    <w:p w:rsidR="0045362D" w:rsidRDefault="0045362D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CFE0EE7"/>
    <w:multiLevelType w:val="hybridMultilevel"/>
    <w:tmpl w:val="3392B516"/>
    <w:lvl w:ilvl="0" w:tplc="6B529D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40C3"/>
    <w:rsid w:val="00024687"/>
    <w:rsid w:val="00025E23"/>
    <w:rsid w:val="0004055A"/>
    <w:rsid w:val="00046881"/>
    <w:rsid w:val="00054FCF"/>
    <w:rsid w:val="00057DD1"/>
    <w:rsid w:val="000930DB"/>
    <w:rsid w:val="000A134F"/>
    <w:rsid w:val="000A696D"/>
    <w:rsid w:val="000C459E"/>
    <w:rsid w:val="000C7D1A"/>
    <w:rsid w:val="000E0426"/>
    <w:rsid w:val="000E13C8"/>
    <w:rsid w:val="000E5E12"/>
    <w:rsid w:val="000F542B"/>
    <w:rsid w:val="000F6AF0"/>
    <w:rsid w:val="0011294F"/>
    <w:rsid w:val="00135898"/>
    <w:rsid w:val="00141E80"/>
    <w:rsid w:val="00156C5E"/>
    <w:rsid w:val="00172CE7"/>
    <w:rsid w:val="001B4068"/>
    <w:rsid w:val="001C0421"/>
    <w:rsid w:val="001E300D"/>
    <w:rsid w:val="001E3F9E"/>
    <w:rsid w:val="001E75F9"/>
    <w:rsid w:val="001F1D5D"/>
    <w:rsid w:val="001F4055"/>
    <w:rsid w:val="00207CC6"/>
    <w:rsid w:val="00211745"/>
    <w:rsid w:val="0021238A"/>
    <w:rsid w:val="00235CAF"/>
    <w:rsid w:val="00243801"/>
    <w:rsid w:val="002524D4"/>
    <w:rsid w:val="00255ABD"/>
    <w:rsid w:val="002826B8"/>
    <w:rsid w:val="002D14E4"/>
    <w:rsid w:val="002D3B70"/>
    <w:rsid w:val="00325C20"/>
    <w:rsid w:val="003425CB"/>
    <w:rsid w:val="0037464B"/>
    <w:rsid w:val="003A12BF"/>
    <w:rsid w:val="003B32CC"/>
    <w:rsid w:val="003C20D2"/>
    <w:rsid w:val="003D5091"/>
    <w:rsid w:val="003F2E90"/>
    <w:rsid w:val="00403A18"/>
    <w:rsid w:val="00405278"/>
    <w:rsid w:val="00421503"/>
    <w:rsid w:val="0045362D"/>
    <w:rsid w:val="004606AA"/>
    <w:rsid w:val="00492A8A"/>
    <w:rsid w:val="004A5F1A"/>
    <w:rsid w:val="004B0C46"/>
    <w:rsid w:val="004B3C48"/>
    <w:rsid w:val="004D1921"/>
    <w:rsid w:val="004E5A34"/>
    <w:rsid w:val="004F07E1"/>
    <w:rsid w:val="00501D13"/>
    <w:rsid w:val="00511C2D"/>
    <w:rsid w:val="005357D4"/>
    <w:rsid w:val="00542C94"/>
    <w:rsid w:val="005B00F2"/>
    <w:rsid w:val="005B2105"/>
    <w:rsid w:val="005D4B91"/>
    <w:rsid w:val="00626E48"/>
    <w:rsid w:val="0066393D"/>
    <w:rsid w:val="00670CEB"/>
    <w:rsid w:val="006717D0"/>
    <w:rsid w:val="00681F14"/>
    <w:rsid w:val="006B0DA5"/>
    <w:rsid w:val="006F3E64"/>
    <w:rsid w:val="00730BF7"/>
    <w:rsid w:val="007612E2"/>
    <w:rsid w:val="00771226"/>
    <w:rsid w:val="00787ED5"/>
    <w:rsid w:val="007933D0"/>
    <w:rsid w:val="007B1D2D"/>
    <w:rsid w:val="007C59A7"/>
    <w:rsid w:val="007D0ADA"/>
    <w:rsid w:val="007D3E9D"/>
    <w:rsid w:val="007E5330"/>
    <w:rsid w:val="007E66B9"/>
    <w:rsid w:val="00800279"/>
    <w:rsid w:val="00813B60"/>
    <w:rsid w:val="00814426"/>
    <w:rsid w:val="00816E56"/>
    <w:rsid w:val="00817BE4"/>
    <w:rsid w:val="00821B40"/>
    <w:rsid w:val="00842266"/>
    <w:rsid w:val="00845844"/>
    <w:rsid w:val="008723D9"/>
    <w:rsid w:val="008732E8"/>
    <w:rsid w:val="00875A6E"/>
    <w:rsid w:val="008A02B0"/>
    <w:rsid w:val="008B7BDC"/>
    <w:rsid w:val="008C43F1"/>
    <w:rsid w:val="008C7543"/>
    <w:rsid w:val="008D678F"/>
    <w:rsid w:val="008E4114"/>
    <w:rsid w:val="009124C5"/>
    <w:rsid w:val="00941881"/>
    <w:rsid w:val="00947F89"/>
    <w:rsid w:val="009B473D"/>
    <w:rsid w:val="009B69AA"/>
    <w:rsid w:val="00A00F6B"/>
    <w:rsid w:val="00A22124"/>
    <w:rsid w:val="00A34FA8"/>
    <w:rsid w:val="00A4756C"/>
    <w:rsid w:val="00A6611E"/>
    <w:rsid w:val="00A831F2"/>
    <w:rsid w:val="00A87CBE"/>
    <w:rsid w:val="00A91A77"/>
    <w:rsid w:val="00A96D67"/>
    <w:rsid w:val="00AA012F"/>
    <w:rsid w:val="00AA0980"/>
    <w:rsid w:val="00AA26ED"/>
    <w:rsid w:val="00AA4065"/>
    <w:rsid w:val="00AA5FAF"/>
    <w:rsid w:val="00AB098D"/>
    <w:rsid w:val="00AB2B9E"/>
    <w:rsid w:val="00AC6E3C"/>
    <w:rsid w:val="00AE005B"/>
    <w:rsid w:val="00AE11A0"/>
    <w:rsid w:val="00AE3A02"/>
    <w:rsid w:val="00B05334"/>
    <w:rsid w:val="00B174DD"/>
    <w:rsid w:val="00B26BE6"/>
    <w:rsid w:val="00B44DFC"/>
    <w:rsid w:val="00B5410F"/>
    <w:rsid w:val="00B55E56"/>
    <w:rsid w:val="00B607B9"/>
    <w:rsid w:val="00B86A8A"/>
    <w:rsid w:val="00BA23FD"/>
    <w:rsid w:val="00BA6AD7"/>
    <w:rsid w:val="00BC259D"/>
    <w:rsid w:val="00BD68F4"/>
    <w:rsid w:val="00BE74E0"/>
    <w:rsid w:val="00BF1004"/>
    <w:rsid w:val="00C20E10"/>
    <w:rsid w:val="00C224BF"/>
    <w:rsid w:val="00C36E8E"/>
    <w:rsid w:val="00C40C53"/>
    <w:rsid w:val="00C4127C"/>
    <w:rsid w:val="00C52451"/>
    <w:rsid w:val="00C70C7E"/>
    <w:rsid w:val="00C7168C"/>
    <w:rsid w:val="00C84B34"/>
    <w:rsid w:val="00C91CFA"/>
    <w:rsid w:val="00CB1066"/>
    <w:rsid w:val="00CB2CFB"/>
    <w:rsid w:val="00CC392C"/>
    <w:rsid w:val="00CC3986"/>
    <w:rsid w:val="00CD2AEF"/>
    <w:rsid w:val="00CE3C5D"/>
    <w:rsid w:val="00D05F96"/>
    <w:rsid w:val="00D143C1"/>
    <w:rsid w:val="00D4209A"/>
    <w:rsid w:val="00D452B8"/>
    <w:rsid w:val="00D55E81"/>
    <w:rsid w:val="00D568FB"/>
    <w:rsid w:val="00D61B61"/>
    <w:rsid w:val="00D64641"/>
    <w:rsid w:val="00D70EFC"/>
    <w:rsid w:val="00D954E6"/>
    <w:rsid w:val="00DC56F6"/>
    <w:rsid w:val="00DE4BCB"/>
    <w:rsid w:val="00DF318F"/>
    <w:rsid w:val="00E23DD6"/>
    <w:rsid w:val="00E6284F"/>
    <w:rsid w:val="00E72B74"/>
    <w:rsid w:val="00E81697"/>
    <w:rsid w:val="00EC28DC"/>
    <w:rsid w:val="00ED624B"/>
    <w:rsid w:val="00EE002B"/>
    <w:rsid w:val="00EE4CDC"/>
    <w:rsid w:val="00EF2AE4"/>
    <w:rsid w:val="00EF3C6B"/>
    <w:rsid w:val="00F64967"/>
    <w:rsid w:val="00F77AB4"/>
    <w:rsid w:val="00FA2190"/>
    <w:rsid w:val="00FB18D8"/>
    <w:rsid w:val="00FB3091"/>
    <w:rsid w:val="00FB4F5C"/>
    <w:rsid w:val="00FB52A1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F1A"/>
    <w:pPr>
      <w:ind w:left="720"/>
    </w:pPr>
  </w:style>
  <w:style w:type="paragraph" w:customStyle="1" w:styleId="Default">
    <w:name w:val="Default"/>
    <w:uiPriority w:val="99"/>
    <w:rsid w:val="004A5F1A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F2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F1A"/>
    <w:pPr>
      <w:ind w:left="720"/>
    </w:pPr>
  </w:style>
  <w:style w:type="paragraph" w:customStyle="1" w:styleId="Default">
    <w:name w:val="Default"/>
    <w:uiPriority w:val="99"/>
    <w:rsid w:val="004A5F1A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F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odnosisjavnoscu@hep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2016-02-16T13:02:00Z</cp:lastPrinted>
  <dcterms:created xsi:type="dcterms:W3CDTF">2017-07-12T11:37:00Z</dcterms:created>
  <dcterms:modified xsi:type="dcterms:W3CDTF">2017-07-12T11:37:00Z</dcterms:modified>
</cp:coreProperties>
</file>